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Jewel Hunt</w:t>
      </w:r>
    </w:p>
    <w:p w:rsidR="00000000" w:rsidDel="00000000" w:rsidP="00000000" w:rsidRDefault="00000000" w:rsidRPr="00000000">
      <w:pPr>
        <w:pBdr/>
        <w:contextualSpacing w:val="0"/>
        <w:rPr/>
      </w:pPr>
      <w:r w:rsidDel="00000000" w:rsidR="00000000" w:rsidRPr="00000000">
        <w:rPr>
          <w:rtl w:val="0"/>
        </w:rPr>
        <w:t xml:space="preserve">If you’re a big fan of jewel and puzzle games, chances are you’ll enjoy hours upon hours of fun when you play Jewel Hunt online. In Jewel Hunt, your task is to click on groups of similar diamonds so they are mined. Can you mine large groups of diamonds at once to set a new high score? If you’re confident you can, why not back up your claims and start playing the game today? It’s possible to lose yourself in the game for hours, so don’t wait any longer to get started with Jewel Hunt if you require something truly immersive.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